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2">
        <w:r>
          <w:rPr>
            <w:rStyle w:val="InternetLink"/>
            <w:rFonts w:ascii="Times New Roman" w:hAnsi="Times New Roman"/>
            <w:lang w:val="sr-RS"/>
          </w:rPr>
          <w:t>https://kutak.suk.gov.rs/kutak-znanja/rad-i-organizacija-drzavnih-organa-u-ap-i-jls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hyperlink r:id="rId3">
        <w:r>
          <w:rPr>
            <w:rStyle w:val="InternetLink"/>
            <w:rFonts w:ascii="Times New Roman" w:hAnsi="Times New Roman"/>
            <w:lang w:val="sr-RS"/>
          </w:rPr>
          <w:t>https://kutak.suk.gov.rs/kutak-znanja/digitalna-pismenost-1</w:t>
        </w:r>
      </w:hyperlink>
    </w:p>
    <w:p>
      <w:pPr>
        <w:pStyle w:val="Normal"/>
        <w:widowControl w:val="false"/>
        <w:suppressAutoHyphens w:val="true"/>
        <w:jc w:val="both"/>
        <w:rPr/>
      </w:pPr>
      <w:hyperlink r:id="rId4">
        <w:r>
          <w:rPr>
            <w:rStyle w:val="InternetLink"/>
            <w:rFonts w:ascii="Times New Roman" w:hAnsi="Times New Roman"/>
            <w:lang w:val="sr-RS"/>
          </w:rPr>
          <w:t>https://kutak.suk.gov.rs/kutak-znanja/poslovna-komunikacija-za-ap-i-jls</w:t>
        </w:r>
      </w:hyperlink>
    </w:p>
    <w:p>
      <w:pPr>
        <w:pStyle w:val="Normal"/>
        <w:widowControl w:val="false"/>
        <w:suppressAutoHyphens w:val="true"/>
        <w:spacing w:lineRule="auto" w:line="240" w:before="0" w:after="240"/>
        <w:ind w:hanging="0"/>
        <w:jc w:val="both"/>
        <w:rPr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rFonts w:cs="Calibri" w:ascii="Times New Roman" w:hAnsi="Times New Roman" w:cstheme="minorHAnsi"/>
          <w:color w:val="000000"/>
          <w:spacing w:val="-14"/>
          <w:sz w:val="22"/>
          <w:lang w:val="ru-RU"/>
        </w:rPr>
        <w:t xml:space="preserve">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ru-RU"/>
        </w:rPr>
        <w:t>Управно правни послови</w:t>
      </w:r>
      <w:r>
        <w:rPr>
          <w:rFonts w:cs="Times New Roman Cyr" w:ascii="Times New Roman" w:hAnsi="Times New Roman"/>
          <w:b/>
          <w:color w:val="000000"/>
          <w:spacing w:val="-14"/>
          <w:sz w:val="22"/>
          <w:lang w:val="sr-RS"/>
        </w:rPr>
        <w:t xml:space="preserve"> – </w:t>
      </w:r>
      <w:r>
        <w:rPr>
          <w:rFonts w:cs="Times New Roman Cyr" w:ascii="Times New Roman" w:hAnsi="Times New Roman"/>
          <w:b w:val="false"/>
          <w:bCs w:val="false"/>
          <w:color w:val="000000"/>
          <w:spacing w:val="-14"/>
          <w:sz w:val="22"/>
          <w:lang w:val="sr-RS"/>
        </w:rPr>
        <w:t xml:space="preserve">Општи управни поступак </w:t>
      </w:r>
      <w:r>
        <w:rPr>
          <w:rFonts w:cs="Calibri" w:ascii="Times New Roman" w:hAnsi="Times New Roman" w:cstheme="minorHAnsi"/>
          <w:b w:val="false"/>
          <w:bCs w:val="false"/>
          <w:color w:val="000000"/>
          <w:spacing w:val="-14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Latn-RS"/>
        </w:rPr>
        <w:t xml:space="preserve">  </w:t>
      </w:r>
      <w:r>
        <w:rPr>
          <w:rFonts w:cs="Calibri" w:ascii="Times New Roman" w:hAnsi="Times New Roman" w:cstheme="minorHAnsi"/>
          <w:b/>
          <w:bCs/>
          <w:color w:val="000000"/>
          <w:spacing w:val="-14"/>
          <w:sz w:val="22"/>
          <w:lang w:val="sr-RS"/>
        </w:rPr>
        <w:t xml:space="preserve">  </w:t>
      </w:r>
    </w:p>
    <w:p>
      <w:pPr>
        <w:pStyle w:val="Normal"/>
        <w:widowControl w:val="false"/>
        <w:suppressAutoHyphens w:val="true"/>
        <w:jc w:val="both"/>
        <w:rPr/>
      </w:pPr>
      <w:hyperlink r:id="rId5">
        <w:r>
          <w:rPr>
            <w:rStyle w:val="InternetLink"/>
            <w:rFonts w:ascii="Times New Roman" w:hAnsi="Times New Roman"/>
            <w:b w:val="false"/>
            <w:bCs w:val="false"/>
            <w:lang w:val="sr-RS"/>
          </w:rPr>
          <w:t>https://kutak.suk.gov.rs/kutak-znanja/simulacije-zadataka-apjls/upravno-pravni-poslovi-2/pripremi-s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 радно место (планска документа, прописи и акта из надлежности и организације органа)- Статут града Пирота  и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  <w:color w:val="5983B0"/>
        </w:rPr>
        <w:t xml:space="preserve"> </w:t>
      </w:r>
      <w:hyperlink r:id="rId6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</w:t>
      </w:r>
      <w:hyperlink r:id="rId7">
        <w:r>
          <w:rPr>
            <w:rStyle w:val="InternetLink"/>
            <w:rFonts w:cs="Calibri" w:cstheme="minorHAnsi"/>
            <w:color w:val="729FCF"/>
          </w:rPr>
          <w:t>https://www.pirot.rs/index.php/8-cirilica/4927-izrada-plana-razvoja-grada-pirota-za-period-2021-2028-godine-2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за радно место (прописи из делокруга радног места)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rPr/>
      </w:pPr>
      <w:r>
        <w:rPr>
          <w:rFonts w:cs="Calibri" w:cstheme="minorHAnsi"/>
          <w:color w:val="5983B0"/>
          <w:lang w:val="sr-RS"/>
        </w:rPr>
        <w:t xml:space="preserve"> </w:t>
      </w:r>
      <w:hyperlink r:id="rId8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https://www.paragraf.rs/propisi/zakon_o_planiranju_i_izgradnji.html</w:t>
        </w:r>
      </w:hyperlink>
    </w:p>
    <w:p>
      <w:pPr>
        <w:pStyle w:val="Normal"/>
        <w:spacing w:lineRule="auto" w:line="240" w:before="0" w:after="240"/>
        <w:ind w:hanging="0"/>
        <w:rPr/>
      </w:pPr>
      <w:r>
        <w:rPr>
          <w:rFonts w:cs="Calibri"/>
          <w:lang w:val="sr-RS"/>
        </w:rPr>
        <w:t xml:space="preserve"> </w:t>
      </w:r>
      <w:hyperlink r:id="rId9">
        <w:r>
          <w:rPr>
            <w:rStyle w:val="InternetLink"/>
            <w:rFonts w:cs="Calibri"/>
            <w:lang w:val="sr-RS"/>
          </w:rPr>
          <w:t>https://www.paragraf.rs/propisi/zakon-o-posebnim-uslovima-za-evidentiranje-i-upis-prava-na-nepokretnostima.html</w:t>
        </w:r>
      </w:hyperlink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5983B0"/>
          <w:lang w:val="sr-RS"/>
        </w:rPr>
      </w:pPr>
      <w:r>
        <w:rPr>
          <w:rFonts w:cs="Calibri" w:cstheme="minorHAnsi"/>
          <w:color w:val="5983B0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Style w:val="InternetLink"/>
          <w:rFonts w:cs="Calibri" w:cstheme="minorHAnsi"/>
          <w:color w:val="729FCF"/>
          <w:lang w:val="sr-RS"/>
        </w:rPr>
      </w:pPr>
      <w:r>
        <w:rPr>
          <w:rFonts w:cs="Calibri" w:cstheme="minorHAnsi"/>
          <w:color w:val="729FCF"/>
          <w:lang w:val="sr-RS"/>
        </w:rPr>
      </w:r>
    </w:p>
    <w:p>
      <w:pPr>
        <w:pStyle w:val="Normal"/>
        <w:spacing w:lineRule="auto" w:line="240" w:before="0" w:after="240"/>
        <w:ind w:firstLine="720"/>
        <w:rPr>
          <w:rFonts w:cs="Calibri" w:cstheme="minorHAnsi"/>
          <w:color w:val="729FCF"/>
        </w:rPr>
      </w:pPr>
      <w:r>
        <w:rPr>
          <w:rFonts w:cs="Calibri" w:cstheme="minorHAnsi"/>
          <w:color w:val="729FCF"/>
        </w:rPr>
      </w:r>
    </w:p>
    <w:p>
      <w:pPr>
        <w:pStyle w:val="Normal"/>
        <w:spacing w:lineRule="auto" w:line="240" w:before="0" w:after="240"/>
        <w:ind w:firstLine="720"/>
        <w:jc w:val="both"/>
        <w:rPr>
          <w:rFonts w:cs="Calibri" w:cstheme="minorHAnsi"/>
          <w:color w:val="5983B0"/>
          <w:lang w:val="sr-RS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digitalna-pismenost-1" TargetMode="External"/><Relationship Id="rId4" Type="http://schemas.openxmlformats.org/officeDocument/2006/relationships/hyperlink" Target="https://kutak.suk.gov.rs/kutak-znanja/poslovna-komunikacija-za-ap-i-jls" TargetMode="External"/><Relationship Id="rId5" Type="http://schemas.openxmlformats.org/officeDocument/2006/relationships/hyperlink" Target="https://kutak.suk.gov.rs/kutak-znanja/simulacije-zadataka-apjls/upravno-pravni-poslovi-2/pripremi-se" TargetMode="External"/><Relationship Id="rId6" Type="http://schemas.openxmlformats.org/officeDocument/2006/relationships/hyperlink" Target="https://pirot.rs/index.php/dokumenta/statut-opstine-pirot-2" TargetMode="External"/><Relationship Id="rId7" Type="http://schemas.openxmlformats.org/officeDocument/2006/relationships/hyperlink" Target="https://www.pirot.rs/index.php/8-cirilica/4927-izrada-plana-razvoja-grada-pirota-za-period-2021-2028-godine-2" TargetMode="External"/><Relationship Id="rId8" Type="http://schemas.openxmlformats.org/officeDocument/2006/relationships/hyperlink" Target="https://www.paragraf.rs/propisi/zakon_o_planiranju_i_izgradnji.html" TargetMode="External"/><Relationship Id="rId9" Type="http://schemas.openxmlformats.org/officeDocument/2006/relationships/hyperlink" Target="https://www.paragraf.rs/propisi/zakon-o-posebnim-uslovima-za-evidentiranje-i-upis-prava-na-nepokretnostima.html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LibreOffice/7.3.2.2$Windows_X86_64 LibreOffice_project/49f2b1bff42cfccbd8f788c8dc32c1c309559be0</Application>
  <AppVersion>15.0000</AppVersion>
  <Pages>1</Pages>
  <Words>94</Words>
  <Characters>1184</Characters>
  <CharactersWithSpaces>1300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dcterms:modified xsi:type="dcterms:W3CDTF">2026-02-25T10:42:38Z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